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安平镇人民政府</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香河县安平镇人民政府</w:t>
      </w: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根据《安平镇职能配置、内设机构和人员编制规定》， 安平镇的主要职责是：</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镇党委、政府处于领导农业和农村工作的第一线，承担着建设社会主义新农村的光荣使命。镇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镇各项工作的统一领导，充分发挥总揽全局、协调各方面的领导核心作用。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强化引导功能，集中精力抓好党的农村工作方针政策的落实，抓好基层政策建设和农村产业结构调整等带有方向性和全局性的工作，引导农村富余劳动力向小城镇转移，促进农村的现代化建设。强化服务功能，着重在技术、信息、人才、资金等方向为农民提供服务，为镇企业发展创造条件，大力培育和发展各类经济服务实体和社会中介组织，推动农业产业化服务体系的发展与完善，搞好产前、产中、产后服务，努力增加农民收入，减轻财政和农民负担。强化协调功能，使事业站所以及基层工商、税务等机构，能够围绕镇工作“一盘棋”互相配合。同时，进一步规范镇政府和村级组织的工作职能作用。镇党委、政府作为党在农村的基层组织和基层政权，对本地经济和社会发展负有领导责任，具有综合管理和协调的功能。进一步理顺县镇关系，建立以块为主、条块结合的行政管理体制。。</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tabs>
                <w:tab w:val="center" w:pos="2177"/>
                <w:tab w:val="right" w:pos="4227"/>
              </w:tabs>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香河县安平镇人民政府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eastAsia="zh-CN"/>
        </w:rPr>
        <w:t>安平镇人民政府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当年全部收入。2022年预算收入</w:t>
      </w:r>
      <w:r>
        <w:rPr>
          <w:rFonts w:hint="eastAsia" w:ascii="Times New Roman" w:hAnsi="Times New Roman" w:eastAsia="仿宋_GB2312" w:cs="Times New Roman"/>
          <w:sz w:val="32"/>
          <w:szCs w:val="32"/>
          <w:lang w:val="en-US" w:eastAsia="zh-CN"/>
        </w:rPr>
        <w:t>4745.41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4745.41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安平镇人民政府</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预算中支出预算的总体情况。2022年支出预算</w:t>
      </w:r>
      <w:r>
        <w:rPr>
          <w:rFonts w:hint="eastAsia" w:ascii="Times New Roman" w:hAnsi="Times New Roman" w:eastAsia="仿宋_GB2312" w:cs="Times New Roman"/>
          <w:sz w:val="32"/>
          <w:szCs w:val="32"/>
          <w:lang w:val="en-US" w:eastAsia="zh-CN"/>
        </w:rPr>
        <w:t>4745.41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1946.22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1595.06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351.16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2799.19</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2799.19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老夏安线道路两侧景观提升工程资金(本级）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老夏安线两侧绿化带养护资金（本级）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服务群众专项经费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left="319" w:leftChars="152"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2022年预算收支安排4745.41万元，较2021年预算减少6563.8万元，其中：基本支出减少418.68万元，主要为人员经费支出；项目支出减少6145.12万元，主要为土地补偿款项目支出。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351.16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安平镇人民政府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2022年，我</w:t>
      </w:r>
      <w:r>
        <w:rPr>
          <w:rFonts w:hint="eastAsia" w:ascii="Times New Roman" w:hAnsi="Times New Roman" w:eastAsia="仿宋_GB2312" w:cs="Times New Roman"/>
          <w:sz w:val="32"/>
          <w:szCs w:val="32"/>
          <w:highlight w:val="none"/>
          <w:lang w:eastAsia="zh-CN"/>
        </w:rPr>
        <w:t>单位</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lang w:val="en-US" w:eastAsia="zh-CN"/>
        </w:rPr>
        <w:t>10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10</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10</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万元。与2021年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0.2</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0.2</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lang w:eastAsia="zh-CN"/>
        </w:rPr>
        <w:t>我单位公车车龄较长，运行维护费较高</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一是在高质量发展中实现新作为新突破。加快推进重点项目建设，加快企业转型升级。引导企业依靠先进技术、设备、管理方面进行提升；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二是在生态环境上实现新突破。加强自然生态环境保护投入，大气、水体、土壤污染防治和林木绿化方面持续改善；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三是在农村人居环境整治上实现新突破。在坑塘环境、城镇垃圾、“两违”拆除整治方面，建立健全长效机制，严厉打击各种违法违规行为；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四是在保障和改善民生上实现新突破。强化扶贫解困、教育投入、持续实施文体惠民工程，加强各类基础设施建设、文化活动开展等；</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五是在社会治理上实现新突破。对涉众信访案件，持续开展攻坚、抓好社会治安综合治理、扫黑除恶、安全生产和食药安全等工作，特别高度关注重点领域、重点行业，切实做到隐患排查整改全覆盖、无死角；</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六是在党委、政府自身建设上实现新突破。规范村“两室”建设，不断提升、完善基层党建阵地配套设施，推动党建工作全覆盖，开展作风建设，强化监督执纪审查。</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1、巩固生态环境治理成果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继续强化大气环境大气污染防治力度，主要针对秸秆、垃圾禁烧、“散乱污”企业巡查整治等；对安平镇域内所有河道、干渠、坑塘等开展全面排查治理，加强长效机制建设，确保龙减河流域水污染治理成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绩效指标：治理后河道水质指标数值情况应达到地表水五类以上水质。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2、建立健全农村人居环境整治长效机制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 重点对我镇域内相关村街侵街占道等影响农村人居环境的违建问题进行治理 ,保证拆除整改到位，消除违法状态; 加强对城镇垃圾一体化运行情况的监测管理。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绩效指标：违章建筑、违法占地拆除面积占计划拆除面积的比率的100%；城镇垃圾清理及时率应达到100%。</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3、社会治理实现新突破</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绩效目标：持续降低信访压力，将矛盾化解在基层；加强是社会综合治理及扫黑除恶工作宣传工作；继续开展安全生产和食药安全隐患排除，强化源头管控。</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绩效指标：信访矛盾化解率应达到100%；社会综治相关政策知晓率应达到80%以上；安全生产等工作入户摸排工作开展50次以上。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4、基层党建工作迈上新台阶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绩效目标：持续强化基层党建工作，着力提升党员素质，加强基层党员、干部廉政、勤政教育，使基层党建工作迈上新台阶。</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绩效指标：全年党建学习活动开展50次以上；相关政策知晓率应达到90%。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1、完善制度建设。制定完善预算绩效管理制度、资金管理办法、工作保障制度等，为全年预算绩效目标的实现奠定制度基础。</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2、加强支出管理。通过优化支出结构、编细编实预算、加快履行政府采购手续、尽快启动项目、及时支付资金、按规定及时拨付资金等多种措施，确保支出进度达标。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4、做好绩效自评。按要求开展上年度</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预算绩效自评和重点评价工作，对评价中发现的问题及时整改，调整优化支出结构，提高财政资金使用效益。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5、规范财务资产管理。完善财务管理制度，严格审批程序，加强固定资产登记、使用和报废处置管理，做到支出合理，物尽其用。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7、加强宣传培训调研等。加强人员培训，提高本</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职工业务素质；加强调研，提出优化财政资金配置、提高资金使用效益的意见建议；加大宣传力度，强化预算绩效管理意识，促进预算绩效管理水平进一步提升。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92"/>
        <w:gridCol w:w="819"/>
        <w:gridCol w:w="2345"/>
        <w:gridCol w:w="5356"/>
        <w:gridCol w:w="1724"/>
        <w:gridCol w:w="513"/>
        <w:gridCol w:w="469"/>
        <w:gridCol w:w="687"/>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3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53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2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6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692" w:type="dxa"/>
            <w:vMerge w:val="continue"/>
            <w:tcBorders>
              <w:tl2br w:val="nil"/>
              <w:tr2bl w:val="nil"/>
            </w:tcBorders>
            <w:vAlign w:val="center"/>
          </w:tcPr>
          <w:p/>
        </w:tc>
        <w:tc>
          <w:tcPr>
            <w:tcW w:w="819" w:type="dxa"/>
            <w:vMerge w:val="continue"/>
            <w:tcBorders>
              <w:tl2br w:val="nil"/>
              <w:tr2bl w:val="nil"/>
            </w:tcBorders>
            <w:vAlign w:val="center"/>
          </w:tcPr>
          <w:p/>
        </w:tc>
        <w:tc>
          <w:tcPr>
            <w:tcW w:w="2345" w:type="dxa"/>
            <w:vMerge w:val="continue"/>
            <w:tcBorders>
              <w:tl2br w:val="nil"/>
              <w:tr2bl w:val="nil"/>
            </w:tcBorders>
            <w:vAlign w:val="center"/>
          </w:tcPr>
          <w:p/>
        </w:tc>
        <w:tc>
          <w:tcPr>
            <w:tcW w:w="5356" w:type="dxa"/>
            <w:vMerge w:val="continue"/>
            <w:tcBorders>
              <w:tl2br w:val="nil"/>
              <w:tr2bl w:val="nil"/>
            </w:tcBorders>
            <w:vAlign w:val="center"/>
          </w:tcPr>
          <w:p/>
        </w:tc>
        <w:tc>
          <w:tcPr>
            <w:tcW w:w="1724" w:type="dxa"/>
            <w:vMerge w:val="continue"/>
            <w:tcBorders>
              <w:tl2br w:val="nil"/>
              <w:tr2bl w:val="nil"/>
            </w:tcBorders>
            <w:vAlign w:val="center"/>
          </w:tcPr>
          <w:p/>
        </w:tc>
        <w:tc>
          <w:tcPr>
            <w:tcW w:w="51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6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8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1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2" w:hRule="atLeast"/>
          <w:jc w:val="center"/>
        </w:trPr>
        <w:tc>
          <w:tcPr>
            <w:tcW w:w="692"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服务村街数量</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服务村街数量等于29个为优；大于等于28个，小于29个为良；小于28个为中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服务村街数量</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 =</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29</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2"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预算执行率</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预算执行率大于等于90%为优；大于等于75%，小于90%为良；小于75%为中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预算执行率</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90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年底决算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资金拨付及时率</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资金拨付及时率大于等于90%为优；大于等于75%，小于90%为良；小于75%为中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资金拨付及时率</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90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一般性支出压减率</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一般性支出压减大于等于1为优，大于等于0小于1为良，小于0为中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一般性支出压减率</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1</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年底决算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公共服务水平提升情况</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公共服务水平提升认可大于等于90%为优；大于等于75%，小于90%为良；小于75%为中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公共服务水平提升</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90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村街疫情防控保障率</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村街疫情防控保障率等于100%为优；大于等于75%，小于100%为良；小于75%为中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用于评价村街疫情防控是否全面</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 =</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100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环境卫生保持率</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环境卫生保持率大于等于90%为优；大于等于75%，小于90%为良；小于75%为中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村街环境卫生是否全面</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90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2345" w:type="dxa"/>
            <w:tcBorders>
              <w:tl2br w:val="nil"/>
              <w:tr2bl w:val="nil"/>
            </w:tcBorders>
            <w:noWrap/>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项目持续发挥作用期限</w:t>
            </w:r>
          </w:p>
        </w:tc>
        <w:tc>
          <w:tcPr>
            <w:tcW w:w="5356" w:type="dxa"/>
            <w:tcBorders>
              <w:tl2br w:val="nil"/>
              <w:tr2bl w:val="nil"/>
            </w:tcBorders>
            <w:noWrap/>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项目持续发挥作用的期限大于等于10月为优；大于等于9月，小于10月为良；小于9月为中</w:t>
            </w:r>
          </w:p>
        </w:tc>
        <w:tc>
          <w:tcPr>
            <w:tcW w:w="1724" w:type="dxa"/>
            <w:tcBorders>
              <w:tl2br w:val="nil"/>
              <w:tr2bl w:val="nil"/>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用于评价项目持续时间</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10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月</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345" w:type="dxa"/>
            <w:tcBorders>
              <w:tl2br w:val="nil"/>
              <w:tr2bl w:val="nil"/>
            </w:tcBorders>
            <w:noWrap/>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服务对象满意度</w:t>
            </w:r>
          </w:p>
        </w:tc>
        <w:tc>
          <w:tcPr>
            <w:tcW w:w="5356" w:type="dxa"/>
            <w:tcBorders>
              <w:tl2br w:val="nil"/>
              <w:tr2bl w:val="nil"/>
            </w:tcBorders>
            <w:noWrap/>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服务对象满意度大于等于95%为优；大于等于75%，小于95%为良；小于75%为中</w:t>
            </w:r>
          </w:p>
        </w:tc>
        <w:tc>
          <w:tcPr>
            <w:tcW w:w="1724" w:type="dxa"/>
            <w:tcBorders>
              <w:tl2br w:val="nil"/>
              <w:tr2bl w:val="nil"/>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服务对象满意度</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95</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问卷调查</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hint="eastAsia" w:ascii="Times New Roman" w:hAnsi="Times New Roman" w:eastAsia="仿宋_GB2312" w:cs="Times New Roman"/>
          <w:sz w:val="28"/>
        </w:rPr>
        <w:t>安监办日常工作经费绩效目标表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9"/>
        <w:gridCol w:w="2204"/>
        <w:gridCol w:w="2694"/>
        <w:gridCol w:w="349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82" w:hRule="atLeast"/>
          <w:tblHeader/>
          <w:jc w:val="center"/>
        </w:trPr>
        <w:tc>
          <w:tcPr>
            <w:tcW w:w="16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93" w:type="dxa"/>
            <w:gridSpan w:val="5"/>
            <w:shd w:val="clear" w:color="auto" w:fill="auto"/>
            <w:vAlign w:val="center"/>
          </w:tcPr>
          <w:p>
            <w:pPr>
              <w:pStyle w:val="12"/>
              <w:jc w:val="left"/>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1.用于保障安监办日常工作</w:t>
            </w:r>
            <w:r>
              <w:rPr>
                <w:rFonts w:hint="eastAsia" w:ascii="Times New Roman" w:hAnsi="Times New Roman" w:eastAsia="仿宋_GB2312" w:cs="Times New Roman"/>
                <w:b/>
                <w:kern w:val="2"/>
                <w:sz w:val="21"/>
                <w:szCs w:val="22"/>
                <w:lang w:val="en-US" w:eastAsia="zh-CN" w:bidi="ar-SA"/>
              </w:rPr>
              <w:t>；</w:t>
            </w:r>
            <w:r>
              <w:rPr>
                <w:rFonts w:ascii="Times New Roman" w:hAnsi="Times New Roman" w:eastAsia="仿宋_GB2312" w:cs="Times New Roman"/>
                <w:b/>
                <w:kern w:val="2"/>
                <w:sz w:val="21"/>
                <w:szCs w:val="22"/>
                <w:lang w:val="en-US" w:eastAsia="zh-CN" w:bidi="ar-SA"/>
              </w:rPr>
              <w:t>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=29个</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continue"/>
            <w:shd w:val="clear" w:color="auto" w:fill="auto"/>
            <w:vAlign w:val="center"/>
          </w:tcPr>
          <w:p>
            <w:pPr>
              <w:jc w:val="center"/>
            </w:pP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重大事故发生次数</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重大事故发生次数</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≦1次</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continue"/>
            <w:shd w:val="clear" w:color="auto" w:fill="auto"/>
            <w:vAlign w:val="center"/>
          </w:tcPr>
          <w:p>
            <w:pPr>
              <w:jc w:val="center"/>
            </w:pP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continue"/>
            <w:shd w:val="clear" w:color="auto" w:fill="auto"/>
            <w:vAlign w:val="center"/>
          </w:tcPr>
          <w:p>
            <w:pPr>
              <w:jc w:val="center"/>
            </w:pP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安监办正常运转月数</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安监办正常运转月数</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continue"/>
            <w:shd w:val="clear" w:color="auto" w:fill="auto"/>
            <w:vAlign w:val="center"/>
          </w:tcPr>
          <w:p>
            <w:pPr>
              <w:jc w:val="center"/>
            </w:pP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安平镇村庄规划编制项目资金（本级）绩效目标表</w:t>
      </w:r>
      <w:r>
        <w:rPr>
          <w:rFonts w:ascii="Times New Roman" w:hAnsi="Times New Roman" w:eastAsia="仿宋_GB2312" w:cs="Times New Roman"/>
          <w:vanish/>
          <w:sz w:val="28"/>
        </w:rPr>
        <w:t>{ TC 2、办公自动化（OA）和督查督办系统升级及推广费绩效目标表 \f C \l 1 }</w:t>
      </w:r>
    </w:p>
    <w:tbl>
      <w:tblPr>
        <w:tblStyle w:val="8"/>
        <w:tblpPr w:leftFromText="180" w:rightFromText="180" w:vertAnchor="text" w:horzAnchor="page" w:tblpXSpec="center" w:tblpY="2"/>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8"/>
        <w:gridCol w:w="1997"/>
        <w:gridCol w:w="2618"/>
        <w:gridCol w:w="3791"/>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5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04" w:type="dxa"/>
            <w:gridSpan w:val="5"/>
            <w:shd w:val="clear" w:color="auto" w:fill="auto"/>
            <w:vAlign w:val="center"/>
          </w:tcPr>
          <w:p>
            <w:pPr>
              <w:pStyle w:val="12"/>
              <w:jc w:val="left"/>
              <w:rPr>
                <w:rFonts w:ascii="Times New Roman" w:hAnsi="Times New Roman" w:eastAsia="仿宋_GB2312" w:cs="Times New Roman"/>
                <w:b/>
              </w:rPr>
            </w:pPr>
            <w:r>
              <w:rPr>
                <w:rFonts w:ascii="Times New Roman" w:hAnsi="Times New Roman" w:eastAsia="仿宋_GB2312" w:cs="Times New Roman"/>
                <w:b/>
                <w:kern w:val="2"/>
                <w:sz w:val="21"/>
                <w:szCs w:val="22"/>
                <w:lang w:val="en-US" w:eastAsia="zh-CN" w:bidi="ar-SA"/>
              </w:rPr>
              <w:t>1.为我镇村庄未来发展提供坚实保障</w:t>
            </w:r>
            <w:r>
              <w:rPr>
                <w:rFonts w:hint="eastAsia" w:ascii="Times New Roman" w:hAnsi="Times New Roman" w:eastAsia="仿宋_GB2312" w:cs="Times New Roman"/>
                <w:b/>
                <w:kern w:val="2"/>
                <w:sz w:val="21"/>
                <w:szCs w:val="22"/>
                <w:lang w:val="en-US" w:eastAsia="zh-CN" w:bidi="ar-SA"/>
              </w:rPr>
              <w:t>；</w:t>
            </w:r>
            <w:r>
              <w:rPr>
                <w:rFonts w:ascii="Times New Roman" w:hAnsi="Times New Roman" w:eastAsia="仿宋_GB2312" w:cs="Times New Roman"/>
                <w:b/>
                <w:kern w:val="2"/>
                <w:sz w:val="21"/>
                <w:szCs w:val="22"/>
                <w:lang w:val="en-US" w:eastAsia="zh-CN" w:bidi="ar-SA"/>
              </w:rPr>
              <w:t>2.通过项目的开展做好15个村庄规划编制工作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5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套数</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村庄规划编制套数</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1套</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9" w:hRule="atLeast"/>
          <w:jc w:val="center"/>
        </w:trPr>
        <w:tc>
          <w:tcPr>
            <w:tcW w:w="1658" w:type="dxa"/>
            <w:vMerge w:val="continue"/>
            <w:shd w:val="clear" w:color="auto" w:fill="auto"/>
            <w:vAlign w:val="center"/>
          </w:tcPr>
          <w:p>
            <w:pPr>
              <w:jc w:val="center"/>
            </w:pP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项目成果质量评审通过率</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村庄规划编制项目报告质量评审通过率</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58" w:type="dxa"/>
            <w:vMerge w:val="continue"/>
            <w:shd w:val="clear" w:color="auto" w:fill="auto"/>
            <w:vAlign w:val="center"/>
          </w:tcPr>
          <w:p>
            <w:pPr>
              <w:jc w:val="center"/>
            </w:pP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进度计划完成率</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按照工作规划编制进度完成比率</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58" w:type="dxa"/>
            <w:vMerge w:val="continue"/>
            <w:shd w:val="clear" w:color="auto" w:fill="auto"/>
            <w:vAlign w:val="center"/>
          </w:tcPr>
          <w:p>
            <w:pPr>
              <w:jc w:val="center"/>
            </w:pP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村庄规划编制项目成本</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≤130万元</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5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规划利用率</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通过规划编制，完成我镇村庄规划工作</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8" w:type="dxa"/>
            <w:vMerge w:val="continue"/>
            <w:shd w:val="clear" w:color="auto" w:fill="auto"/>
            <w:vAlign w:val="center"/>
          </w:tcPr>
          <w:p>
            <w:pPr>
              <w:jc w:val="center"/>
            </w:pP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≥10年</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spacing w:line="14" w:lineRule="exact"/>
        <w:ind w:firstLine="420" w:firstLineChars="200"/>
        <w:jc w:val="center"/>
        <w:rPr>
          <w:rFonts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安平镇控制性详细规划修编资金（本级）绩效目标表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1.完成香河县安平镇城市设计和控制性详细规划修编项目；2.实现我镇城市设计层面及控规（地块）层面规划；3.更好的落实《协同发展规划》，加强贴边地区管控的相关要求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套数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村庄规划编制套数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1套</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项目成果质量评审通过率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村庄规划编制项目报告质量评审通过率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进度计划完成率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按照工作规划编制进度完成比率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村庄规划编制项目成本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规划利用率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通过规划编制，完成我镇村庄规划工作</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安平镇一街清真寺改造工程项目资金（本级）绩效目标表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1.2022年度支付项目尾款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改造面积</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改造面积</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=297.27平方米</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改造工程验收合格率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资金支付及时率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资金支付及时率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工程尾款成本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≤6.66万元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在镇区产生重大影响，得到广大受众充分认可</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改造工程使用期限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满意群众占调查群众总数的比例意度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办公环境改善经费绩效目标表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1.用保障我镇办公设备购；2.确保预算执行率达到较高水平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保障股室个数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保障股室个数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=8个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办公设备保障率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办公设备保障率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机关正常运转月数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机关正常运转月数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北运河龙凤碱河污水处理工程及设备采购资金（本级）绩效目标表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1.通过项目的开展完成北运河龙凤碱河污水处理工程验收及设备采购安装；2.确保龙凤碱河水质达标，提高我县出境断面考核指标。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污水设备数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采购污水设备数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2台</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工程验收合格率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验收记录、报告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工程完成时间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提高龙凤碱河水质</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提高龙凤碱河水质</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≤3级</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地表水质环境标准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持续时长</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周边群众满意度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周边群众满意度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城乡社区管理支出绩效目标表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1.保障我镇城乡社区综合执法工作正常运行；2.确保预算执行率达到较高水平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覆盖村街数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覆盖村街数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卷宗组档及时率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卷宗组档及时率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城乡社区恶性事件发生次数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城乡社区恶性事件发生次数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村党组织活动经费绩效目标表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1.确保29个村街全面覆盖；2.确保预算执行率达到较高水平；3.确保党员满意度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村街党组织活动达标率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村街党组织活动达标率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党建活动支持率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党建活动支持率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村街党员满意度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村街党员满意度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村级组织办公经费绩效目标表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1.确保29个村街全面覆盖；2.确保预算执行率达到较高水平；3.确保群众满意度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村街正常办公月数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村街正常办公月数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≦58万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村街事务及时办结率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村街事务及时办结率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村街（社区）“两委”干部补贴绩效目标表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保障人员补贴及时发放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社区两委人数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社区两委人数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人均发放水平</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人均发放水平</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750元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村街（社区）“两委”干部补贴绩效目标表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1.保障我镇城乡社区综合执法工作正常运行；2.确保预算执行率达到较高水平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村街两委人数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村街两委人数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87人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人员经费预算完成率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人员经费预算完成率=人员经费执行数/人员经费预算数*100%</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rPr>
        <w:t>村街（社区）“两委”干部补贴绩效目标表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ascii="Times New Roman" w:hAnsi="Times New Roman" w:eastAsia="仿宋_GB2312" w:cs="Times New Roman"/>
                <w:b/>
                <w:kern w:val="2"/>
                <w:sz w:val="21"/>
                <w:szCs w:val="22"/>
                <w:lang w:val="en-US" w:eastAsia="zh-CN" w:bidi="ar-SA"/>
              </w:rPr>
              <w:t>1.村街（社区）“两委干部”的补贴发放</w:t>
            </w:r>
            <w:r>
              <w:rPr>
                <w:rFonts w:hint="eastAsia" w:ascii="Times New Roman" w:hAnsi="Times New Roman" w:eastAsia="仿宋_GB2312" w:cs="Times New Roman"/>
                <w:b/>
                <w:kern w:val="2"/>
                <w:sz w:val="21"/>
                <w:szCs w:val="22"/>
                <w:lang w:val="en-US" w:eastAsia="zh-CN" w:bidi="ar-SA"/>
              </w:rPr>
              <w:t>；</w:t>
            </w:r>
            <w:r>
              <w:rPr>
                <w:rFonts w:ascii="Times New Roman" w:hAnsi="Times New Roman" w:eastAsia="仿宋_GB2312" w:cs="Times New Roman"/>
                <w:b/>
                <w:kern w:val="2"/>
                <w:sz w:val="21"/>
                <w:szCs w:val="22"/>
                <w:lang w:val="en-US" w:eastAsia="zh-CN" w:bidi="ar-SA"/>
              </w:rPr>
              <w:t>2.预算执行率达到较高水平</w:t>
            </w:r>
            <w:r>
              <w:rPr>
                <w:rFonts w:hint="eastAsia" w:ascii="Times New Roman" w:hAnsi="Times New Roman" w:eastAsia="仿宋_GB2312" w:cs="Times New Roman"/>
                <w:b/>
                <w:kern w:val="2"/>
                <w:sz w:val="21"/>
                <w:szCs w:val="22"/>
                <w:lang w:val="en-US" w:eastAsia="zh-CN" w:bidi="ar-SA"/>
              </w:rPr>
              <w:t>；</w:t>
            </w:r>
            <w:r>
              <w:rPr>
                <w:rFonts w:ascii="Times New Roman" w:hAnsi="Times New Roman" w:eastAsia="仿宋_GB2312" w:cs="Times New Roman"/>
                <w:b/>
                <w:kern w:val="2"/>
                <w:sz w:val="21"/>
                <w:szCs w:val="22"/>
                <w:lang w:val="en-US" w:eastAsia="zh-CN" w:bidi="ar-SA"/>
              </w:rPr>
              <w:t>3.村街稳定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用于评价项目预算执行是否到位</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≦288.46万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稳定村街比例</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用于评价村稳定村街比例</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用于评价服务对象满意度指标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服务群众专项经费绩效目标表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1.确保29个村街全面覆盖；2.确保预算执行率达到较高水平；3.确保群众满意度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用于评价项目预算执行是否到位</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≦290万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村街疫情防控保障率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用于评价村街疫情防控是否全面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生态效益指标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环境卫生保持率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用于评价村街环境卫生是否全面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numPr>
          <w:ilvl w:val="0"/>
          <w:numId w:val="1"/>
        </w:numPr>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hint="eastAsia" w:ascii="Times New Roman" w:hAnsi="Times New Roman" w:eastAsia="仿宋_GB2312" w:cs="Times New Roman"/>
          <w:sz w:val="28"/>
        </w:rPr>
      </w:pPr>
      <w:r>
        <w:rPr>
          <w:rFonts w:hint="eastAsia" w:ascii="Times New Roman" w:hAnsi="Times New Roman" w:eastAsia="仿宋_GB2312" w:cs="Times New Roman"/>
          <w:sz w:val="28"/>
        </w:rPr>
        <w:t>服务群众专项经费绩效目标表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1.确保29个村街全面覆盖；2.确保预算执行率达到较高水平；3.确保群众满意度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用于评价项目预算执行是否到位</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≦290万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村街疫情防控保障率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用于评价村街疫情防控是否全面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生态效益指标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环境卫生保持率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用于评价村街环境卫生是否全面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基层民兵日常训练经费绩效目标表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1.保障基层民兵日常训练正常运行；2.确保预算执行率达到较高水平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基层民兵拉练次数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基层民兵拉练次数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民兵日常训练合格率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民兵日常训练合格率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基层民兵事务正常运转率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基层民兵事务正常运转率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绩效奖金绩效目标表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1.及时发放机关工作人员绩效奖金；2.足额保障机关工作人员绩效奖金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绩效奖金保障人数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≧133人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用于评价项目预算执行是否到位</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奖金发放及时</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资金发放滞后时间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≦403.4万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资金保障覆盖率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资金保障覆盖率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用于评价服务对象满意度指标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纪委日常工作经费绩效目标表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1.用于保障纪委日常工作；2.确保预算执行率达到较高水平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纪委工作办结率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纪委工作办结率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纪委正常运转月数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纪委正常运转月数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劳务费绩效目标表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1.用于保障编外人员薪酬；2.确保预算执行率达到较高水平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保障编外人数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保障编外人数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≧62人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编外人员薪酬全额保障率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编外人员薪酬全额保障率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≦234.88万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编外人员社保覆盖率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编外人员社保覆盖率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老夏安线两侧景观提升工程资金（本级）绩效目标表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w:t>
            </w:r>
            <w:r>
              <w:rPr>
                <w:rFonts w:ascii="Times New Roman" w:hAnsi="Times New Roman" w:eastAsia="仿宋_GB2312" w:cs="Times New Roman"/>
                <w:b/>
                <w:kern w:val="2"/>
                <w:sz w:val="21"/>
                <w:szCs w:val="22"/>
                <w:lang w:val="en-US" w:eastAsia="zh-CN" w:bidi="ar-SA"/>
              </w:rPr>
              <w:t>及时拨付项目资金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支付次数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尾款支付次数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支付时限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支付时限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≤481.75万元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惠及村街个数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惠及村街个数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持续时长</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群众对道路两侧的景观提升工作的综合满意度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老夏安线两侧绿化带养护资金（本级）绩效目标表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1.完成老夏安线道路两侧绿化带日常养护工作；2.及时拨付项目资金。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施肥次数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绿化带施肥次数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群众投诉次数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群众投诉养护工作次数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养护月数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养护月数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24月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≤268万元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惠及村街个数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惠及村街个数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持续时长</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收益群众满意度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ascii="Times New Roman" w:hAnsi="Times New Roman" w:eastAsia="仿宋_GB2312" w:cs="Times New Roman"/>
          <w:sz w:val="28"/>
        </w:rPr>
        <w:t>人大代表联络站经费绩效目标表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1.用于保障人大代表联络站正常运行；2.确保预算执行率达到较高水平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人大活动达标率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人大活动达标率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人大代表联络站正常运转月数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人大代表联络站正常运转月数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w:t>
      </w:r>
      <w:r>
        <w:rPr>
          <w:rFonts w:hint="eastAsia" w:ascii="Times New Roman" w:hAnsi="Times New Roman" w:eastAsia="仿宋_GB2312" w:cs="Times New Roman"/>
          <w:sz w:val="28"/>
        </w:rPr>
        <w:t>社区党组织服务群众专项经费绩效目标表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1.确保4个社区全面覆盖；2.确保预算执行率达到较高水平；3.确保社区群众满意度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=4个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≦80万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w:t>
      </w:r>
      <w:r>
        <w:rPr>
          <w:rFonts w:hint="eastAsia" w:ascii="Times New Roman" w:hAnsi="Times New Roman" w:eastAsia="仿宋_GB2312" w:cs="Times New Roman"/>
          <w:sz w:val="28"/>
        </w:rPr>
        <w:t>社区工作经费绩效目标表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1.确保4个社区全面覆盖；2.确保预算执行率达到较高水平；3.确保社区群众满意度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=4个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社区正常办公月数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社区正常办公月数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≦40万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w:t>
      </w:r>
      <w:r>
        <w:rPr>
          <w:rFonts w:hint="eastAsia" w:ascii="Times New Roman" w:hAnsi="Times New Roman" w:eastAsia="仿宋_GB2312" w:cs="Times New Roman"/>
          <w:sz w:val="28"/>
        </w:rPr>
        <w:t>社区工作者薪酬待遇所需资金绩效目标表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w:t>
            </w:r>
            <w:r>
              <w:rPr>
                <w:rFonts w:ascii="Times New Roman" w:hAnsi="Times New Roman" w:eastAsia="仿宋_GB2312" w:cs="Times New Roman"/>
                <w:b/>
                <w:kern w:val="2"/>
                <w:sz w:val="21"/>
                <w:szCs w:val="22"/>
                <w:lang w:val="en-US" w:eastAsia="zh-CN" w:bidi="ar-SA"/>
              </w:rPr>
              <w:t>保障人员薪酬待遇及时发放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社区工作者人数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社区工作者人数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人员经费预算完成率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人员经费预算完成率=人员经费执行数/人员经费预算数*100%</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经济效益指标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全年服务天数（≥**天）</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全年服务天数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≥232天</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25</w:t>
      </w:r>
      <w:r>
        <w:rPr>
          <w:rFonts w:ascii="Times New Roman" w:hAnsi="Times New Roman" w:eastAsia="仿宋_GB2312" w:cs="Times New Roman"/>
          <w:sz w:val="28"/>
        </w:rPr>
        <w:t>.</w:t>
      </w:r>
      <w:r>
        <w:rPr>
          <w:rFonts w:hint="eastAsia" w:ascii="Times New Roman" w:hAnsi="Times New Roman" w:eastAsia="仿宋_GB2312" w:cs="Times New Roman"/>
          <w:sz w:val="28"/>
        </w:rPr>
        <w:t>社区工作者薪酬待遇所需资金绩效目标表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ascii="Times New Roman" w:hAnsi="Times New Roman" w:eastAsia="仿宋_GB2312" w:cs="Times New Roman"/>
                <w:b/>
                <w:kern w:val="2"/>
                <w:sz w:val="21"/>
                <w:szCs w:val="22"/>
                <w:lang w:val="en-US" w:eastAsia="zh-CN" w:bidi="ar-SA"/>
              </w:rPr>
              <w:t>1.保障我镇社区工作者薪酬全额发放</w:t>
            </w:r>
            <w:r>
              <w:rPr>
                <w:rFonts w:hint="eastAsia" w:ascii="Times New Roman" w:hAnsi="Times New Roman" w:eastAsia="仿宋_GB2312" w:cs="Times New Roman"/>
                <w:b/>
                <w:kern w:val="2"/>
                <w:sz w:val="21"/>
                <w:szCs w:val="22"/>
                <w:lang w:val="en-US" w:eastAsia="zh-CN" w:bidi="ar-SA"/>
              </w:rPr>
              <w:t>；</w:t>
            </w:r>
            <w:r>
              <w:rPr>
                <w:rFonts w:ascii="Times New Roman" w:hAnsi="Times New Roman" w:eastAsia="仿宋_GB2312" w:cs="Times New Roman"/>
                <w:b/>
                <w:kern w:val="2"/>
                <w:sz w:val="21"/>
                <w:szCs w:val="22"/>
                <w:lang w:val="en-US" w:eastAsia="zh-CN" w:bidi="ar-SA"/>
              </w:rPr>
              <w:t>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发放薪酬人数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薪酬足额发放率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薪酬足额发放率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≦136.2万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职工工资社保覆盖率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职工工资社保覆盖率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26</w:t>
      </w:r>
      <w:r>
        <w:rPr>
          <w:rFonts w:ascii="Times New Roman" w:hAnsi="Times New Roman" w:eastAsia="仿宋_GB2312" w:cs="Times New Roman"/>
          <w:sz w:val="28"/>
        </w:rPr>
        <w:t>.</w:t>
      </w:r>
      <w:r>
        <w:rPr>
          <w:rFonts w:hint="eastAsia" w:ascii="Times New Roman" w:hAnsi="Times New Roman" w:eastAsia="仿宋_GB2312" w:cs="Times New Roman"/>
          <w:sz w:val="28"/>
        </w:rPr>
        <w:t>团委日常工作经费绩效目标表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spacing w:line="300" w:lineRule="exact"/>
              <w:jc w:val="left"/>
              <w:rPr>
                <w:rFonts w:ascii="Times New Roman" w:hAnsi="Times New Roman" w:eastAsia="仿宋_GB2312" w:cs="Times New Roman"/>
                <w:b/>
              </w:rPr>
            </w:pPr>
            <w:r>
              <w:rPr>
                <w:rFonts w:ascii="Times New Roman" w:hAnsi="Times New Roman" w:eastAsia="仿宋_GB2312" w:cs="Times New Roman"/>
                <w:b/>
              </w:rPr>
              <w:t>1.保障我镇团委日常工作</w:t>
            </w:r>
            <w:r>
              <w:rPr>
                <w:rFonts w:hint="eastAsia" w:ascii="Times New Roman" w:hAnsi="Times New Roman" w:eastAsia="仿宋_GB2312" w:cs="Times New Roman"/>
                <w:b/>
                <w:lang w:eastAsia="zh-CN"/>
              </w:rPr>
              <w:t>；</w:t>
            </w:r>
            <w:r>
              <w:rPr>
                <w:rFonts w:ascii="Times New Roman" w:hAnsi="Times New Roman" w:eastAsia="仿宋_GB2312" w:cs="Times New Roman"/>
                <w:b/>
              </w:rPr>
              <w:t>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团委工作办结率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团委工作办结率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团委正常运转月数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团委正常运转月数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27</w:t>
      </w:r>
      <w:r>
        <w:rPr>
          <w:rFonts w:ascii="Times New Roman" w:hAnsi="Times New Roman" w:eastAsia="仿宋_GB2312" w:cs="Times New Roman"/>
          <w:sz w:val="28"/>
        </w:rPr>
        <w:t>.</w:t>
      </w:r>
      <w:r>
        <w:rPr>
          <w:rFonts w:hint="eastAsia" w:ascii="Times New Roman" w:hAnsi="Times New Roman" w:eastAsia="仿宋_GB2312" w:cs="Times New Roman"/>
          <w:sz w:val="28"/>
        </w:rPr>
        <w:t>夏季防汛物资储备经费绩效目标表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1.用于保障我镇夏季防汛工作；2.确保预算执行率达到较高水平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防汛演练成功率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防汛演练成功率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防汛演练计划群众参与率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防汛演练计划群众参与率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28</w:t>
      </w:r>
      <w:r>
        <w:rPr>
          <w:rFonts w:ascii="Times New Roman" w:hAnsi="Times New Roman" w:eastAsia="仿宋_GB2312" w:cs="Times New Roman"/>
          <w:sz w:val="28"/>
        </w:rPr>
        <w:t>.</w:t>
      </w:r>
      <w:r>
        <w:rPr>
          <w:rFonts w:hint="eastAsia" w:ascii="Times New Roman" w:hAnsi="Times New Roman" w:eastAsia="仿宋_GB2312" w:cs="Times New Roman"/>
          <w:sz w:val="28"/>
        </w:rPr>
        <w:t>香河县安平镇国土空间规划项目编制资金（本级）绩效目标表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1.实现我镇落实国家与区域的新要求、落实新一轮国土空间规划的新要求；2.根据现实发展调整建设重点提供有力依据；3.保障我镇有序发展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套数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国土空间规划编制套数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1套</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项目成果质量评审通过率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国土空间规划编制项目报告质量评审通过率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进度计划完成率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按照工作规划编制进度完成比率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国土空间规划项目成本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规划利用率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通过规划编制，完成我镇区域控制性详细规划深化细化工作</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29</w:t>
      </w:r>
      <w:r>
        <w:rPr>
          <w:rFonts w:ascii="Times New Roman" w:hAnsi="Times New Roman" w:eastAsia="仿宋_GB2312" w:cs="Times New Roman"/>
          <w:sz w:val="28"/>
        </w:rPr>
        <w:t>.</w:t>
      </w:r>
      <w:r>
        <w:rPr>
          <w:rFonts w:hint="eastAsia" w:ascii="Times New Roman" w:hAnsi="Times New Roman" w:eastAsia="仿宋_GB2312" w:cs="Times New Roman"/>
          <w:sz w:val="28"/>
        </w:rPr>
        <w:t>一至六级伤残军人医疗补助绩效目标表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1.保障我镇一到六级伤残军人医疗补助；2.确保预算执行率达到较高水平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足额保障</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足额保障</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足额保障</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足额保障</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30</w:t>
      </w:r>
      <w:r>
        <w:rPr>
          <w:rFonts w:ascii="Times New Roman" w:hAnsi="Times New Roman" w:eastAsia="仿宋_GB2312" w:cs="Times New Roman"/>
          <w:sz w:val="28"/>
        </w:rPr>
        <w:t>.</w:t>
      </w:r>
      <w:r>
        <w:rPr>
          <w:rFonts w:hint="eastAsia" w:ascii="Times New Roman" w:hAnsi="Times New Roman" w:eastAsia="仿宋_GB2312" w:cs="Times New Roman"/>
          <w:sz w:val="28"/>
        </w:rPr>
        <w:t>镇办公环境大型修缮资金绩效目标表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1.保障我镇办公用房修缮；2.确保预算执行率达到较高水平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修缮面积</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修缮面积</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≦2535平方米</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修缮合格率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修缮合格率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机关正常运转月数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机关正常运转月数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558</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8"/>
        <w:gridCol w:w="1090"/>
        <w:gridCol w:w="1997"/>
        <w:gridCol w:w="1069"/>
        <w:gridCol w:w="818"/>
        <w:gridCol w:w="720"/>
        <w:gridCol w:w="971"/>
        <w:gridCol w:w="1167"/>
        <w:gridCol w:w="1168"/>
        <w:gridCol w:w="916"/>
        <w:gridCol w:w="1331"/>
        <w:gridCol w:w="982"/>
        <w:gridCol w:w="6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5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val="en-US" w:eastAsia="zh-CN"/>
              </w:rPr>
              <w:t>香河县安平镇人民政府</w:t>
            </w:r>
          </w:p>
        </w:tc>
        <w:tc>
          <w:tcPr>
            <w:tcW w:w="625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67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99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06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818"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720"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7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25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8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09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997" w:type="dxa"/>
            <w:vMerge w:val="continue"/>
            <w:shd w:val="clear" w:color="auto" w:fill="auto"/>
            <w:vAlign w:val="center"/>
          </w:tcPr>
          <w:p>
            <w:pPr>
              <w:jc w:val="center"/>
            </w:pPr>
          </w:p>
        </w:tc>
        <w:tc>
          <w:tcPr>
            <w:tcW w:w="1069" w:type="dxa"/>
            <w:vMerge w:val="continue"/>
            <w:shd w:val="clear" w:color="auto" w:fill="auto"/>
            <w:vAlign w:val="center"/>
          </w:tcPr>
          <w:p>
            <w:pPr>
              <w:jc w:val="center"/>
            </w:pPr>
          </w:p>
        </w:tc>
        <w:tc>
          <w:tcPr>
            <w:tcW w:w="818" w:type="dxa"/>
            <w:vMerge w:val="continue"/>
            <w:shd w:val="clear" w:color="auto" w:fill="auto"/>
            <w:vAlign w:val="center"/>
          </w:tcPr>
          <w:p>
            <w:pPr>
              <w:jc w:val="center"/>
            </w:pPr>
          </w:p>
        </w:tc>
        <w:tc>
          <w:tcPr>
            <w:tcW w:w="720" w:type="dxa"/>
            <w:vMerge w:val="continue"/>
            <w:shd w:val="clear" w:color="auto" w:fill="auto"/>
            <w:vAlign w:val="center"/>
          </w:tcPr>
          <w:p>
            <w:pPr>
              <w:jc w:val="center"/>
            </w:pPr>
          </w:p>
        </w:tc>
        <w:tc>
          <w:tcPr>
            <w:tcW w:w="971" w:type="dxa"/>
            <w:vMerge w:val="continue"/>
            <w:shd w:val="clear" w:color="auto" w:fill="auto"/>
            <w:vAlign w:val="center"/>
          </w:tcPr>
          <w:p>
            <w:pPr>
              <w:jc w:val="center"/>
            </w:pPr>
          </w:p>
        </w:tc>
        <w:tc>
          <w:tcPr>
            <w:tcW w:w="1167"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6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916"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33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98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69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090"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558</w:t>
            </w:r>
          </w:p>
        </w:tc>
        <w:tc>
          <w:tcPr>
            <w:tcW w:w="1997" w:type="dxa"/>
            <w:shd w:val="clear" w:color="auto" w:fill="auto"/>
            <w:vAlign w:val="center"/>
          </w:tcPr>
          <w:p>
            <w:pPr>
              <w:spacing w:line="300" w:lineRule="exact"/>
              <w:jc w:val="center"/>
              <w:rPr>
                <w:rFonts w:ascii="方正书宋_GBK" w:eastAsia="方正书宋_GBK" w:cs="Times New Roman"/>
                <w:b/>
              </w:rPr>
            </w:pPr>
          </w:p>
        </w:tc>
        <w:tc>
          <w:tcPr>
            <w:tcW w:w="1069" w:type="dxa"/>
            <w:shd w:val="clear" w:color="auto" w:fill="auto"/>
            <w:vAlign w:val="center"/>
          </w:tcPr>
          <w:p>
            <w:pPr>
              <w:spacing w:line="300" w:lineRule="exact"/>
              <w:jc w:val="center"/>
              <w:rPr>
                <w:rFonts w:ascii="方正书宋_GBK" w:eastAsia="方正书宋_GBK" w:cs="Times New Roman"/>
                <w:b/>
              </w:rPr>
            </w:pPr>
          </w:p>
        </w:tc>
        <w:tc>
          <w:tcPr>
            <w:tcW w:w="818" w:type="dxa"/>
            <w:shd w:val="clear" w:color="auto" w:fill="auto"/>
            <w:vAlign w:val="center"/>
          </w:tcPr>
          <w:p>
            <w:pPr>
              <w:spacing w:line="300" w:lineRule="exact"/>
              <w:jc w:val="center"/>
              <w:rPr>
                <w:rFonts w:ascii="方正书宋_GBK" w:eastAsia="方正书宋_GBK" w:cs="Times New Roman"/>
                <w:b/>
              </w:rPr>
            </w:pPr>
          </w:p>
        </w:tc>
        <w:tc>
          <w:tcPr>
            <w:tcW w:w="720" w:type="dxa"/>
            <w:shd w:val="clear" w:color="auto" w:fill="auto"/>
            <w:vAlign w:val="center"/>
          </w:tcPr>
          <w:p>
            <w:pPr>
              <w:spacing w:line="300" w:lineRule="exact"/>
              <w:jc w:val="center"/>
              <w:rPr>
                <w:rFonts w:ascii="方正书宋_GBK" w:eastAsia="方正书宋_GBK" w:cs="Times New Roman"/>
                <w:b/>
              </w:rPr>
            </w:pPr>
          </w:p>
        </w:tc>
        <w:tc>
          <w:tcPr>
            <w:tcW w:w="971" w:type="dxa"/>
            <w:shd w:val="clear" w:color="auto" w:fill="auto"/>
            <w:vAlign w:val="center"/>
          </w:tcPr>
          <w:p>
            <w:pPr>
              <w:spacing w:line="300" w:lineRule="exact"/>
              <w:jc w:val="center"/>
              <w:rPr>
                <w:rFonts w:ascii="方正书宋_GBK" w:eastAsia="方正书宋_GBK" w:cs="Times New Roman"/>
                <w:b/>
              </w:rPr>
            </w:pPr>
          </w:p>
        </w:tc>
        <w:tc>
          <w:tcPr>
            <w:tcW w:w="116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558</w:t>
            </w:r>
          </w:p>
        </w:tc>
        <w:tc>
          <w:tcPr>
            <w:tcW w:w="1168"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558</w:t>
            </w:r>
          </w:p>
        </w:tc>
        <w:tc>
          <w:tcPr>
            <w:tcW w:w="916" w:type="dxa"/>
            <w:shd w:val="clear" w:color="auto" w:fill="auto"/>
            <w:vAlign w:val="center"/>
          </w:tcPr>
          <w:p>
            <w:pPr>
              <w:spacing w:line="300" w:lineRule="exact"/>
              <w:jc w:val="center"/>
              <w:rPr>
                <w:rFonts w:ascii="方正书宋_GBK" w:eastAsia="方正书宋_GBK" w:cs="Times New Roman"/>
                <w:b/>
              </w:rPr>
            </w:pPr>
          </w:p>
        </w:tc>
        <w:tc>
          <w:tcPr>
            <w:tcW w:w="1331" w:type="dxa"/>
            <w:shd w:val="clear" w:color="auto" w:fill="auto"/>
            <w:vAlign w:val="center"/>
          </w:tcPr>
          <w:p>
            <w:pPr>
              <w:spacing w:line="300" w:lineRule="exact"/>
              <w:jc w:val="center"/>
              <w:rPr>
                <w:rFonts w:ascii="方正书宋_GBK" w:eastAsia="方正书宋_GBK" w:cs="Times New Roman"/>
                <w:b/>
              </w:rPr>
            </w:pPr>
          </w:p>
        </w:tc>
        <w:tc>
          <w:tcPr>
            <w:tcW w:w="982" w:type="dxa"/>
            <w:shd w:val="clear" w:color="auto" w:fill="auto"/>
            <w:vAlign w:val="center"/>
          </w:tcPr>
          <w:p>
            <w:pPr>
              <w:spacing w:line="300" w:lineRule="exact"/>
              <w:jc w:val="center"/>
              <w:rPr>
                <w:rFonts w:ascii="方正书宋_GBK" w:eastAsia="方正书宋_GBK" w:cs="Times New Roman"/>
                <w:b/>
              </w:rPr>
            </w:pPr>
          </w:p>
        </w:tc>
        <w:tc>
          <w:tcPr>
            <w:tcW w:w="690" w:type="dxa"/>
            <w:shd w:val="clear" w:color="auto" w:fill="auto"/>
            <w:vAlign w:val="center"/>
          </w:tcPr>
          <w:p>
            <w:pPr>
              <w:spacing w:line="300" w:lineRule="exact"/>
              <w:jc w:val="center"/>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keepNext w:val="0"/>
              <w:keepLines w:val="0"/>
              <w:widowControl/>
              <w:suppressLineNumbers w:val="0"/>
              <w:jc w:val="center"/>
              <w:textAlignment w:val="center"/>
              <w:rPr>
                <w:rFonts w:ascii="方正书宋_GBK" w:eastAsia="方正书宋_GBK" w:cs="Times New Roman"/>
                <w:b/>
              </w:rPr>
            </w:pPr>
            <w:r>
              <w:rPr>
                <w:rFonts w:hint="eastAsia" w:ascii="宋体" w:hAnsi="宋体" w:eastAsia="宋体" w:cs="宋体"/>
                <w:i w:val="0"/>
                <w:iCs w:val="0"/>
                <w:color w:val="000000"/>
                <w:kern w:val="0"/>
                <w:sz w:val="22"/>
                <w:szCs w:val="22"/>
                <w:u w:val="none"/>
                <w:lang w:val="en-US" w:eastAsia="zh-CN" w:bidi="ar"/>
              </w:rPr>
              <w:t>安平镇村庄规划编制项目资金（本级）</w:t>
            </w:r>
          </w:p>
        </w:tc>
        <w:tc>
          <w:tcPr>
            <w:tcW w:w="1090" w:type="dxa"/>
            <w:shd w:val="clear" w:color="auto" w:fill="auto"/>
            <w:vAlign w:val="center"/>
          </w:tcPr>
          <w:p>
            <w:pPr>
              <w:keepNext w:val="0"/>
              <w:keepLines w:val="0"/>
              <w:widowControl/>
              <w:suppressLineNumbers w:val="0"/>
              <w:jc w:val="center"/>
              <w:textAlignment w:val="center"/>
              <w:rPr>
                <w:rFonts w:ascii="方正书宋_GBK" w:eastAsia="方正书宋_GBK" w:cs="Times New Roman"/>
                <w:b/>
              </w:rPr>
            </w:pPr>
            <w:r>
              <w:rPr>
                <w:rFonts w:hint="default" w:ascii="Calibri" w:hAnsi="Calibri" w:eastAsia="宋体" w:cs="Calibri"/>
                <w:i w:val="0"/>
                <w:iCs w:val="0"/>
                <w:color w:val="000000"/>
                <w:kern w:val="0"/>
                <w:sz w:val="22"/>
                <w:szCs w:val="22"/>
                <w:u w:val="none"/>
                <w:lang w:val="en-US" w:eastAsia="zh-CN" w:bidi="ar"/>
              </w:rPr>
              <w:t>130.00</w:t>
            </w:r>
          </w:p>
        </w:tc>
        <w:tc>
          <w:tcPr>
            <w:tcW w:w="1997" w:type="dxa"/>
            <w:shd w:val="clear" w:color="auto" w:fill="auto"/>
            <w:vAlign w:val="center"/>
          </w:tcPr>
          <w:p>
            <w:pPr>
              <w:keepNext w:val="0"/>
              <w:keepLines w:val="0"/>
              <w:widowControl/>
              <w:suppressLineNumbers w:val="0"/>
              <w:jc w:val="center"/>
              <w:textAlignment w:val="center"/>
              <w:rPr>
                <w:rFonts w:ascii="方正书宋_GBK" w:eastAsia="方正书宋_GBK" w:cs="Times New Roman"/>
                <w:b/>
              </w:rPr>
            </w:pPr>
            <w:r>
              <w:rPr>
                <w:rStyle w:val="13"/>
                <w:lang w:val="en-US" w:eastAsia="zh-CN" w:bidi="ar"/>
              </w:rPr>
              <w:t>其他专业技术服务</w:t>
            </w:r>
          </w:p>
        </w:tc>
        <w:tc>
          <w:tcPr>
            <w:tcW w:w="1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C0908</w:t>
            </w:r>
          </w:p>
        </w:tc>
        <w:tc>
          <w:tcPr>
            <w:tcW w:w="8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套</w:t>
            </w:r>
          </w:p>
        </w:tc>
        <w:tc>
          <w:tcPr>
            <w:tcW w:w="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130.00</w:t>
            </w:r>
          </w:p>
        </w:tc>
        <w:tc>
          <w:tcPr>
            <w:tcW w:w="11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130.00</w:t>
            </w:r>
          </w:p>
        </w:tc>
        <w:tc>
          <w:tcPr>
            <w:tcW w:w="11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130.00</w:t>
            </w:r>
          </w:p>
        </w:tc>
        <w:tc>
          <w:tcPr>
            <w:tcW w:w="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31" w:type="dxa"/>
            <w:shd w:val="clear" w:color="auto" w:fill="auto"/>
            <w:vAlign w:val="center"/>
          </w:tcPr>
          <w:p>
            <w:pPr>
              <w:spacing w:line="300" w:lineRule="exact"/>
              <w:jc w:val="center"/>
              <w:rPr>
                <w:rFonts w:ascii="方正书宋_GBK" w:eastAsia="方正书宋_GBK" w:cs="Times New Roman"/>
                <w:b/>
              </w:rPr>
            </w:pPr>
          </w:p>
        </w:tc>
        <w:tc>
          <w:tcPr>
            <w:tcW w:w="982" w:type="dxa"/>
            <w:shd w:val="clear" w:color="auto" w:fill="auto"/>
            <w:vAlign w:val="center"/>
          </w:tcPr>
          <w:p>
            <w:pPr>
              <w:spacing w:line="300" w:lineRule="exact"/>
              <w:jc w:val="center"/>
              <w:rPr>
                <w:rFonts w:ascii="方正书宋_GBK" w:eastAsia="方正书宋_GBK" w:cs="Times New Roman"/>
                <w:b/>
              </w:rPr>
            </w:pPr>
          </w:p>
        </w:tc>
        <w:tc>
          <w:tcPr>
            <w:tcW w:w="690" w:type="dxa"/>
            <w:shd w:val="clear" w:color="auto" w:fill="auto"/>
            <w:vAlign w:val="center"/>
          </w:tcPr>
          <w:p>
            <w:pPr>
              <w:spacing w:line="300" w:lineRule="exact"/>
              <w:jc w:val="center"/>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Fonts w:hint="eastAsia" w:ascii="宋体" w:hAnsi="宋体" w:eastAsia="宋体" w:cs="宋体"/>
                <w:i w:val="0"/>
                <w:iCs w:val="0"/>
                <w:color w:val="000000"/>
                <w:kern w:val="0"/>
                <w:sz w:val="22"/>
                <w:szCs w:val="22"/>
                <w:u w:val="none"/>
                <w:lang w:val="en-US" w:eastAsia="zh-CN" w:bidi="ar"/>
              </w:rPr>
              <w:t>安平镇控制性详细规划修编资金（本级）</w:t>
            </w:r>
          </w:p>
        </w:tc>
        <w:tc>
          <w:tcPr>
            <w:tcW w:w="1090"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Fonts w:hint="default" w:ascii="Calibri" w:hAnsi="Calibri" w:eastAsia="宋体" w:cs="Calibri"/>
                <w:i w:val="0"/>
                <w:iCs w:val="0"/>
                <w:color w:val="000000"/>
                <w:kern w:val="0"/>
                <w:sz w:val="22"/>
                <w:szCs w:val="22"/>
                <w:u w:val="none"/>
                <w:lang w:val="en-US" w:eastAsia="zh-CN" w:bidi="ar"/>
              </w:rPr>
              <w:t>160.00</w:t>
            </w:r>
          </w:p>
        </w:tc>
        <w:tc>
          <w:tcPr>
            <w:tcW w:w="1997"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Fonts w:hint="default" w:ascii="Calibri" w:hAnsi="Calibri" w:eastAsia="宋体" w:cs="Calibri"/>
                <w:i w:val="0"/>
                <w:iCs w:val="0"/>
                <w:color w:val="000000"/>
                <w:kern w:val="0"/>
                <w:sz w:val="22"/>
                <w:szCs w:val="22"/>
                <w:u w:val="none"/>
                <w:lang w:val="en-US" w:eastAsia="zh-CN" w:bidi="ar"/>
              </w:rPr>
              <w:t>其他专业技术服务</w:t>
            </w:r>
          </w:p>
        </w:tc>
        <w:tc>
          <w:tcPr>
            <w:tcW w:w="1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C0908</w:t>
            </w:r>
          </w:p>
        </w:tc>
        <w:tc>
          <w:tcPr>
            <w:tcW w:w="8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套</w:t>
            </w:r>
          </w:p>
        </w:tc>
        <w:tc>
          <w:tcPr>
            <w:tcW w:w="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160.00</w:t>
            </w:r>
          </w:p>
        </w:tc>
        <w:tc>
          <w:tcPr>
            <w:tcW w:w="11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160.00</w:t>
            </w:r>
          </w:p>
        </w:tc>
        <w:tc>
          <w:tcPr>
            <w:tcW w:w="11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160.00</w:t>
            </w:r>
          </w:p>
        </w:tc>
        <w:tc>
          <w:tcPr>
            <w:tcW w:w="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31" w:type="dxa"/>
            <w:shd w:val="clear" w:color="auto" w:fill="auto"/>
            <w:vAlign w:val="center"/>
          </w:tcPr>
          <w:p>
            <w:pPr>
              <w:spacing w:line="300" w:lineRule="exact"/>
              <w:jc w:val="center"/>
              <w:rPr>
                <w:rFonts w:ascii="方正书宋_GBK" w:eastAsia="方正书宋_GBK" w:cs="Times New Roman"/>
              </w:rPr>
            </w:pPr>
          </w:p>
        </w:tc>
        <w:tc>
          <w:tcPr>
            <w:tcW w:w="982" w:type="dxa"/>
            <w:shd w:val="clear" w:color="auto" w:fill="auto"/>
            <w:vAlign w:val="center"/>
          </w:tcPr>
          <w:p>
            <w:pPr>
              <w:spacing w:line="300" w:lineRule="exact"/>
              <w:jc w:val="center"/>
              <w:rPr>
                <w:rFonts w:ascii="方正书宋_GBK" w:eastAsia="方正书宋_GBK" w:cs="Times New Roman"/>
              </w:rPr>
            </w:pPr>
          </w:p>
        </w:tc>
        <w:tc>
          <w:tcPr>
            <w:tcW w:w="690" w:type="dxa"/>
            <w:shd w:val="clear" w:color="auto" w:fill="auto"/>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Fonts w:hint="eastAsia" w:ascii="宋体" w:hAnsi="宋体" w:eastAsia="宋体" w:cs="宋体"/>
                <w:i w:val="0"/>
                <w:iCs w:val="0"/>
                <w:color w:val="000000"/>
                <w:kern w:val="0"/>
                <w:sz w:val="22"/>
                <w:szCs w:val="22"/>
                <w:u w:val="none"/>
                <w:lang w:val="en-US" w:eastAsia="zh-CN" w:bidi="ar"/>
              </w:rPr>
              <w:t>老夏安线两侧绿化带养护资金（本级）</w:t>
            </w:r>
          </w:p>
        </w:tc>
        <w:tc>
          <w:tcPr>
            <w:tcW w:w="1090"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Fonts w:hint="default" w:ascii="Calibri" w:hAnsi="Calibri" w:eastAsia="宋体" w:cs="Calibri"/>
                <w:i w:val="0"/>
                <w:iCs w:val="0"/>
                <w:color w:val="000000"/>
                <w:kern w:val="0"/>
                <w:sz w:val="22"/>
                <w:szCs w:val="22"/>
                <w:u w:val="none"/>
                <w:lang w:val="en-US" w:eastAsia="zh-CN" w:bidi="ar"/>
              </w:rPr>
              <w:t>268.00</w:t>
            </w:r>
          </w:p>
        </w:tc>
        <w:tc>
          <w:tcPr>
            <w:tcW w:w="1997"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Style w:val="13"/>
                <w:lang w:val="en-US" w:eastAsia="zh-CN" w:bidi="ar"/>
              </w:rPr>
              <w:t>林木抚育管理服务</w:t>
            </w:r>
          </w:p>
        </w:tc>
        <w:tc>
          <w:tcPr>
            <w:tcW w:w="1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C210202</w:t>
            </w:r>
          </w:p>
        </w:tc>
        <w:tc>
          <w:tcPr>
            <w:tcW w:w="8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年</w:t>
            </w:r>
          </w:p>
        </w:tc>
        <w:tc>
          <w:tcPr>
            <w:tcW w:w="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268.00</w:t>
            </w:r>
          </w:p>
        </w:tc>
        <w:tc>
          <w:tcPr>
            <w:tcW w:w="11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268.00</w:t>
            </w:r>
          </w:p>
        </w:tc>
        <w:tc>
          <w:tcPr>
            <w:tcW w:w="11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268.00</w:t>
            </w:r>
          </w:p>
        </w:tc>
        <w:tc>
          <w:tcPr>
            <w:tcW w:w="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31" w:type="dxa"/>
            <w:shd w:val="clear" w:color="auto" w:fill="auto"/>
            <w:vAlign w:val="center"/>
          </w:tcPr>
          <w:p>
            <w:pPr>
              <w:spacing w:line="300" w:lineRule="exact"/>
              <w:jc w:val="center"/>
              <w:rPr>
                <w:rFonts w:ascii="方正书宋_GBK" w:eastAsia="方正书宋_GBK" w:cs="Times New Roman"/>
              </w:rPr>
            </w:pPr>
          </w:p>
        </w:tc>
        <w:tc>
          <w:tcPr>
            <w:tcW w:w="982" w:type="dxa"/>
            <w:shd w:val="clear" w:color="auto" w:fill="auto"/>
            <w:vAlign w:val="center"/>
          </w:tcPr>
          <w:p>
            <w:pPr>
              <w:spacing w:line="300" w:lineRule="exact"/>
              <w:jc w:val="center"/>
              <w:rPr>
                <w:rFonts w:ascii="方正书宋_GBK" w:eastAsia="方正书宋_GBK" w:cs="Times New Roman"/>
              </w:rPr>
            </w:pPr>
          </w:p>
        </w:tc>
        <w:tc>
          <w:tcPr>
            <w:tcW w:w="690" w:type="dxa"/>
            <w:shd w:val="clear" w:color="auto" w:fill="auto"/>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spacing w:line="300" w:lineRule="exact"/>
              <w:jc w:val="left"/>
              <w:rPr>
                <w:rFonts w:ascii="方正书宋_GBK" w:eastAsia="方正书宋_GBK" w:cs="Times New Roman"/>
              </w:rPr>
            </w:pPr>
          </w:p>
        </w:tc>
        <w:tc>
          <w:tcPr>
            <w:tcW w:w="1090" w:type="dxa"/>
            <w:shd w:val="clear" w:color="auto" w:fill="auto"/>
            <w:vAlign w:val="center"/>
          </w:tcPr>
          <w:p>
            <w:pPr>
              <w:spacing w:line="300" w:lineRule="exact"/>
              <w:jc w:val="right"/>
              <w:rPr>
                <w:rFonts w:ascii="方正书宋_GBK" w:eastAsia="方正书宋_GBK" w:cs="Times New Roman"/>
              </w:rPr>
            </w:pPr>
          </w:p>
        </w:tc>
        <w:tc>
          <w:tcPr>
            <w:tcW w:w="1997" w:type="dxa"/>
            <w:shd w:val="clear" w:color="auto" w:fill="auto"/>
            <w:vAlign w:val="center"/>
          </w:tcPr>
          <w:p>
            <w:pPr>
              <w:spacing w:line="300" w:lineRule="exact"/>
              <w:jc w:val="left"/>
              <w:rPr>
                <w:rFonts w:ascii="方正书宋_GBK" w:eastAsia="方正书宋_GBK" w:cs="Times New Roman"/>
              </w:rPr>
            </w:pPr>
          </w:p>
        </w:tc>
        <w:tc>
          <w:tcPr>
            <w:tcW w:w="1069" w:type="dxa"/>
            <w:shd w:val="clear" w:color="auto" w:fill="auto"/>
            <w:vAlign w:val="center"/>
          </w:tcPr>
          <w:p>
            <w:pPr>
              <w:spacing w:line="300" w:lineRule="exact"/>
              <w:jc w:val="left"/>
              <w:rPr>
                <w:rFonts w:ascii="方正书宋_GBK" w:eastAsia="方正书宋_GBK" w:cs="Times New Roman"/>
              </w:rPr>
            </w:pPr>
          </w:p>
        </w:tc>
        <w:tc>
          <w:tcPr>
            <w:tcW w:w="818" w:type="dxa"/>
            <w:shd w:val="clear" w:color="auto" w:fill="auto"/>
            <w:vAlign w:val="center"/>
          </w:tcPr>
          <w:p>
            <w:pPr>
              <w:spacing w:line="300" w:lineRule="exact"/>
              <w:jc w:val="center"/>
              <w:rPr>
                <w:rFonts w:ascii="方正书宋_GBK" w:eastAsia="方正书宋_GBK" w:cs="Times New Roman"/>
              </w:rPr>
            </w:pPr>
          </w:p>
        </w:tc>
        <w:tc>
          <w:tcPr>
            <w:tcW w:w="720" w:type="dxa"/>
            <w:shd w:val="clear" w:color="auto" w:fill="auto"/>
            <w:vAlign w:val="center"/>
          </w:tcPr>
          <w:p>
            <w:pPr>
              <w:spacing w:line="300" w:lineRule="exact"/>
              <w:jc w:val="right"/>
              <w:rPr>
                <w:rFonts w:ascii="方正书宋_GBK" w:eastAsia="方正书宋_GBK" w:cs="Times New Roman"/>
              </w:rPr>
            </w:pPr>
          </w:p>
        </w:tc>
        <w:tc>
          <w:tcPr>
            <w:tcW w:w="971" w:type="dxa"/>
            <w:shd w:val="clear" w:color="auto" w:fill="auto"/>
            <w:vAlign w:val="center"/>
          </w:tcPr>
          <w:p>
            <w:pPr>
              <w:spacing w:line="300" w:lineRule="exact"/>
              <w:jc w:val="right"/>
              <w:rPr>
                <w:rFonts w:ascii="方正书宋_GBK" w:eastAsia="方正书宋_GBK" w:cs="Times New Roman"/>
              </w:rPr>
            </w:pPr>
          </w:p>
        </w:tc>
        <w:tc>
          <w:tcPr>
            <w:tcW w:w="1167" w:type="dxa"/>
            <w:shd w:val="clear" w:color="auto" w:fill="auto"/>
            <w:vAlign w:val="center"/>
          </w:tcPr>
          <w:p>
            <w:pPr>
              <w:spacing w:line="300" w:lineRule="exact"/>
              <w:jc w:val="right"/>
              <w:rPr>
                <w:rFonts w:ascii="方正书宋_GBK" w:eastAsia="方正书宋_GBK" w:cs="Times New Roman"/>
              </w:rPr>
            </w:pPr>
          </w:p>
        </w:tc>
        <w:tc>
          <w:tcPr>
            <w:tcW w:w="1168" w:type="dxa"/>
            <w:shd w:val="clear" w:color="auto" w:fill="auto"/>
            <w:vAlign w:val="center"/>
          </w:tcPr>
          <w:p>
            <w:pPr>
              <w:spacing w:line="300" w:lineRule="exact"/>
              <w:jc w:val="right"/>
              <w:rPr>
                <w:rFonts w:ascii="方正书宋_GBK" w:eastAsia="方正书宋_GBK" w:cs="Times New Roman"/>
              </w:rPr>
            </w:pPr>
          </w:p>
        </w:tc>
        <w:tc>
          <w:tcPr>
            <w:tcW w:w="916" w:type="dxa"/>
            <w:shd w:val="clear" w:color="auto" w:fill="auto"/>
            <w:vAlign w:val="center"/>
          </w:tcPr>
          <w:p>
            <w:pPr>
              <w:spacing w:line="300" w:lineRule="exact"/>
              <w:jc w:val="right"/>
              <w:rPr>
                <w:rFonts w:ascii="方正书宋_GBK" w:eastAsia="方正书宋_GBK" w:cs="Times New Roman"/>
              </w:rPr>
            </w:pPr>
          </w:p>
        </w:tc>
        <w:tc>
          <w:tcPr>
            <w:tcW w:w="1331" w:type="dxa"/>
            <w:shd w:val="clear" w:color="auto" w:fill="auto"/>
            <w:vAlign w:val="center"/>
          </w:tcPr>
          <w:p>
            <w:pPr>
              <w:spacing w:line="300" w:lineRule="exact"/>
              <w:jc w:val="right"/>
              <w:rPr>
                <w:rFonts w:ascii="方正书宋_GBK" w:eastAsia="方正书宋_GBK" w:cs="Times New Roman"/>
              </w:rPr>
            </w:pPr>
          </w:p>
        </w:tc>
        <w:tc>
          <w:tcPr>
            <w:tcW w:w="982" w:type="dxa"/>
            <w:shd w:val="clear" w:color="auto" w:fill="auto"/>
            <w:vAlign w:val="center"/>
          </w:tcPr>
          <w:p>
            <w:pPr>
              <w:spacing w:line="300" w:lineRule="exact"/>
              <w:jc w:val="right"/>
              <w:rPr>
                <w:rFonts w:ascii="方正书宋_GBK" w:eastAsia="方正书宋_GBK" w:cs="Times New Roman"/>
              </w:rPr>
            </w:pPr>
          </w:p>
        </w:tc>
        <w:tc>
          <w:tcPr>
            <w:tcW w:w="690"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spacing w:line="300" w:lineRule="exact"/>
              <w:jc w:val="left"/>
              <w:rPr>
                <w:rFonts w:ascii="方正书宋_GBK" w:eastAsia="方正书宋_GBK" w:cs="Times New Roman"/>
              </w:rPr>
            </w:pPr>
          </w:p>
        </w:tc>
        <w:tc>
          <w:tcPr>
            <w:tcW w:w="1090" w:type="dxa"/>
            <w:shd w:val="clear" w:color="auto" w:fill="auto"/>
            <w:vAlign w:val="center"/>
          </w:tcPr>
          <w:p>
            <w:pPr>
              <w:spacing w:line="300" w:lineRule="exact"/>
              <w:jc w:val="right"/>
              <w:rPr>
                <w:rFonts w:ascii="方正书宋_GBK" w:eastAsia="方正书宋_GBK" w:cs="Times New Roman"/>
              </w:rPr>
            </w:pPr>
          </w:p>
        </w:tc>
        <w:tc>
          <w:tcPr>
            <w:tcW w:w="1997" w:type="dxa"/>
            <w:shd w:val="clear" w:color="auto" w:fill="auto"/>
            <w:vAlign w:val="center"/>
          </w:tcPr>
          <w:p>
            <w:pPr>
              <w:spacing w:line="300" w:lineRule="exact"/>
              <w:jc w:val="left"/>
              <w:rPr>
                <w:rFonts w:ascii="方正书宋_GBK" w:eastAsia="方正书宋_GBK" w:cs="Times New Roman"/>
              </w:rPr>
            </w:pPr>
          </w:p>
        </w:tc>
        <w:tc>
          <w:tcPr>
            <w:tcW w:w="1069" w:type="dxa"/>
            <w:shd w:val="clear" w:color="auto" w:fill="auto"/>
            <w:vAlign w:val="center"/>
          </w:tcPr>
          <w:p>
            <w:pPr>
              <w:spacing w:line="300" w:lineRule="exact"/>
              <w:jc w:val="left"/>
              <w:rPr>
                <w:rFonts w:ascii="方正书宋_GBK" w:eastAsia="方正书宋_GBK" w:cs="Times New Roman"/>
              </w:rPr>
            </w:pPr>
          </w:p>
        </w:tc>
        <w:tc>
          <w:tcPr>
            <w:tcW w:w="818" w:type="dxa"/>
            <w:shd w:val="clear" w:color="auto" w:fill="auto"/>
            <w:vAlign w:val="center"/>
          </w:tcPr>
          <w:p>
            <w:pPr>
              <w:spacing w:line="300" w:lineRule="exact"/>
              <w:jc w:val="center"/>
              <w:rPr>
                <w:rFonts w:ascii="方正书宋_GBK" w:eastAsia="方正书宋_GBK" w:cs="Times New Roman"/>
              </w:rPr>
            </w:pPr>
          </w:p>
        </w:tc>
        <w:tc>
          <w:tcPr>
            <w:tcW w:w="720" w:type="dxa"/>
            <w:shd w:val="clear" w:color="auto" w:fill="auto"/>
            <w:vAlign w:val="center"/>
          </w:tcPr>
          <w:p>
            <w:pPr>
              <w:spacing w:line="300" w:lineRule="exact"/>
              <w:jc w:val="right"/>
              <w:rPr>
                <w:rFonts w:ascii="方正书宋_GBK" w:eastAsia="方正书宋_GBK" w:cs="Times New Roman"/>
              </w:rPr>
            </w:pPr>
          </w:p>
        </w:tc>
        <w:tc>
          <w:tcPr>
            <w:tcW w:w="971" w:type="dxa"/>
            <w:shd w:val="clear" w:color="auto" w:fill="auto"/>
            <w:vAlign w:val="center"/>
          </w:tcPr>
          <w:p>
            <w:pPr>
              <w:spacing w:line="300" w:lineRule="exact"/>
              <w:jc w:val="right"/>
              <w:rPr>
                <w:rFonts w:ascii="方正书宋_GBK" w:eastAsia="方正书宋_GBK" w:cs="Times New Roman"/>
              </w:rPr>
            </w:pPr>
          </w:p>
        </w:tc>
        <w:tc>
          <w:tcPr>
            <w:tcW w:w="1167" w:type="dxa"/>
            <w:shd w:val="clear" w:color="auto" w:fill="auto"/>
            <w:vAlign w:val="center"/>
          </w:tcPr>
          <w:p>
            <w:pPr>
              <w:spacing w:line="300" w:lineRule="exact"/>
              <w:jc w:val="right"/>
              <w:rPr>
                <w:rFonts w:ascii="方正书宋_GBK" w:eastAsia="方正书宋_GBK" w:cs="Times New Roman"/>
              </w:rPr>
            </w:pPr>
          </w:p>
        </w:tc>
        <w:tc>
          <w:tcPr>
            <w:tcW w:w="1168" w:type="dxa"/>
            <w:shd w:val="clear" w:color="auto" w:fill="auto"/>
            <w:vAlign w:val="center"/>
          </w:tcPr>
          <w:p>
            <w:pPr>
              <w:spacing w:line="300" w:lineRule="exact"/>
              <w:jc w:val="right"/>
              <w:rPr>
                <w:rFonts w:ascii="方正书宋_GBK" w:eastAsia="方正书宋_GBK" w:cs="Times New Roman"/>
              </w:rPr>
            </w:pPr>
          </w:p>
        </w:tc>
        <w:tc>
          <w:tcPr>
            <w:tcW w:w="916" w:type="dxa"/>
            <w:shd w:val="clear" w:color="auto" w:fill="auto"/>
            <w:vAlign w:val="center"/>
          </w:tcPr>
          <w:p>
            <w:pPr>
              <w:spacing w:line="300" w:lineRule="exact"/>
              <w:jc w:val="right"/>
              <w:rPr>
                <w:rFonts w:ascii="方正书宋_GBK" w:eastAsia="方正书宋_GBK" w:cs="Times New Roman"/>
              </w:rPr>
            </w:pPr>
          </w:p>
        </w:tc>
        <w:tc>
          <w:tcPr>
            <w:tcW w:w="1331" w:type="dxa"/>
            <w:shd w:val="clear" w:color="auto" w:fill="auto"/>
            <w:vAlign w:val="center"/>
          </w:tcPr>
          <w:p>
            <w:pPr>
              <w:spacing w:line="300" w:lineRule="exact"/>
              <w:jc w:val="right"/>
              <w:rPr>
                <w:rFonts w:ascii="方正书宋_GBK" w:eastAsia="方正书宋_GBK" w:cs="Times New Roman"/>
              </w:rPr>
            </w:pPr>
          </w:p>
        </w:tc>
        <w:tc>
          <w:tcPr>
            <w:tcW w:w="982" w:type="dxa"/>
            <w:shd w:val="clear" w:color="auto" w:fill="auto"/>
            <w:vAlign w:val="center"/>
          </w:tcPr>
          <w:p>
            <w:pPr>
              <w:spacing w:line="300" w:lineRule="exact"/>
              <w:jc w:val="right"/>
              <w:rPr>
                <w:rFonts w:ascii="方正书宋_GBK" w:eastAsia="方正书宋_GBK" w:cs="Times New Roman"/>
              </w:rPr>
            </w:pPr>
          </w:p>
        </w:tc>
        <w:tc>
          <w:tcPr>
            <w:tcW w:w="690"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spacing w:line="300" w:lineRule="exact"/>
              <w:jc w:val="left"/>
              <w:rPr>
                <w:rFonts w:ascii="方正书宋_GBK" w:eastAsia="方正书宋_GBK" w:cs="Times New Roman"/>
              </w:rPr>
            </w:pPr>
          </w:p>
        </w:tc>
        <w:tc>
          <w:tcPr>
            <w:tcW w:w="1090" w:type="dxa"/>
            <w:shd w:val="clear" w:color="auto" w:fill="auto"/>
            <w:vAlign w:val="center"/>
          </w:tcPr>
          <w:p>
            <w:pPr>
              <w:spacing w:line="300" w:lineRule="exact"/>
              <w:jc w:val="right"/>
              <w:rPr>
                <w:rFonts w:ascii="方正书宋_GBK" w:eastAsia="方正书宋_GBK" w:cs="Times New Roman"/>
              </w:rPr>
            </w:pPr>
          </w:p>
        </w:tc>
        <w:tc>
          <w:tcPr>
            <w:tcW w:w="1997" w:type="dxa"/>
            <w:shd w:val="clear" w:color="auto" w:fill="auto"/>
            <w:vAlign w:val="center"/>
          </w:tcPr>
          <w:p>
            <w:pPr>
              <w:spacing w:line="300" w:lineRule="exact"/>
              <w:jc w:val="left"/>
              <w:rPr>
                <w:rFonts w:ascii="方正书宋_GBK" w:eastAsia="方正书宋_GBK" w:cs="Times New Roman"/>
              </w:rPr>
            </w:pPr>
          </w:p>
        </w:tc>
        <w:tc>
          <w:tcPr>
            <w:tcW w:w="1069" w:type="dxa"/>
            <w:shd w:val="clear" w:color="auto" w:fill="auto"/>
            <w:vAlign w:val="center"/>
          </w:tcPr>
          <w:p>
            <w:pPr>
              <w:spacing w:line="300" w:lineRule="exact"/>
              <w:jc w:val="left"/>
              <w:rPr>
                <w:rFonts w:ascii="方正书宋_GBK" w:eastAsia="方正书宋_GBK" w:cs="Times New Roman"/>
              </w:rPr>
            </w:pPr>
          </w:p>
        </w:tc>
        <w:tc>
          <w:tcPr>
            <w:tcW w:w="818" w:type="dxa"/>
            <w:shd w:val="clear" w:color="auto" w:fill="auto"/>
            <w:vAlign w:val="center"/>
          </w:tcPr>
          <w:p>
            <w:pPr>
              <w:spacing w:line="300" w:lineRule="exact"/>
              <w:jc w:val="center"/>
              <w:rPr>
                <w:rFonts w:ascii="方正书宋_GBK" w:eastAsia="方正书宋_GBK" w:cs="Times New Roman"/>
              </w:rPr>
            </w:pPr>
          </w:p>
        </w:tc>
        <w:tc>
          <w:tcPr>
            <w:tcW w:w="720" w:type="dxa"/>
            <w:shd w:val="clear" w:color="auto" w:fill="auto"/>
            <w:vAlign w:val="center"/>
          </w:tcPr>
          <w:p>
            <w:pPr>
              <w:spacing w:line="300" w:lineRule="exact"/>
              <w:jc w:val="right"/>
              <w:rPr>
                <w:rFonts w:ascii="方正书宋_GBK" w:eastAsia="方正书宋_GBK" w:cs="Times New Roman"/>
              </w:rPr>
            </w:pPr>
          </w:p>
        </w:tc>
        <w:tc>
          <w:tcPr>
            <w:tcW w:w="971" w:type="dxa"/>
            <w:shd w:val="clear" w:color="auto" w:fill="auto"/>
            <w:vAlign w:val="center"/>
          </w:tcPr>
          <w:p>
            <w:pPr>
              <w:spacing w:line="300" w:lineRule="exact"/>
              <w:jc w:val="right"/>
              <w:rPr>
                <w:rFonts w:ascii="方正书宋_GBK" w:eastAsia="方正书宋_GBK" w:cs="Times New Roman"/>
              </w:rPr>
            </w:pPr>
          </w:p>
        </w:tc>
        <w:tc>
          <w:tcPr>
            <w:tcW w:w="1167" w:type="dxa"/>
            <w:shd w:val="clear" w:color="auto" w:fill="auto"/>
            <w:vAlign w:val="center"/>
          </w:tcPr>
          <w:p>
            <w:pPr>
              <w:spacing w:line="300" w:lineRule="exact"/>
              <w:jc w:val="right"/>
              <w:rPr>
                <w:rFonts w:ascii="方正书宋_GBK" w:eastAsia="方正书宋_GBK" w:cs="Times New Roman"/>
              </w:rPr>
            </w:pPr>
          </w:p>
        </w:tc>
        <w:tc>
          <w:tcPr>
            <w:tcW w:w="1168" w:type="dxa"/>
            <w:shd w:val="clear" w:color="auto" w:fill="auto"/>
            <w:vAlign w:val="center"/>
          </w:tcPr>
          <w:p>
            <w:pPr>
              <w:spacing w:line="300" w:lineRule="exact"/>
              <w:jc w:val="right"/>
              <w:rPr>
                <w:rFonts w:ascii="方正书宋_GBK" w:eastAsia="方正书宋_GBK" w:cs="Times New Roman"/>
              </w:rPr>
            </w:pPr>
          </w:p>
        </w:tc>
        <w:tc>
          <w:tcPr>
            <w:tcW w:w="916" w:type="dxa"/>
            <w:shd w:val="clear" w:color="auto" w:fill="auto"/>
            <w:vAlign w:val="center"/>
          </w:tcPr>
          <w:p>
            <w:pPr>
              <w:spacing w:line="300" w:lineRule="exact"/>
              <w:jc w:val="right"/>
              <w:rPr>
                <w:rFonts w:ascii="方正书宋_GBK" w:eastAsia="方正书宋_GBK" w:cs="Times New Roman"/>
              </w:rPr>
            </w:pPr>
          </w:p>
        </w:tc>
        <w:tc>
          <w:tcPr>
            <w:tcW w:w="1331" w:type="dxa"/>
            <w:shd w:val="clear" w:color="auto" w:fill="auto"/>
            <w:vAlign w:val="center"/>
          </w:tcPr>
          <w:p>
            <w:pPr>
              <w:spacing w:line="300" w:lineRule="exact"/>
              <w:jc w:val="right"/>
              <w:rPr>
                <w:rFonts w:ascii="方正书宋_GBK" w:eastAsia="方正书宋_GBK" w:cs="Times New Roman"/>
              </w:rPr>
            </w:pPr>
          </w:p>
        </w:tc>
        <w:tc>
          <w:tcPr>
            <w:tcW w:w="982" w:type="dxa"/>
            <w:shd w:val="clear" w:color="auto" w:fill="auto"/>
            <w:vAlign w:val="center"/>
          </w:tcPr>
          <w:p>
            <w:pPr>
              <w:spacing w:line="300" w:lineRule="exact"/>
              <w:jc w:val="right"/>
              <w:rPr>
                <w:rFonts w:ascii="方正书宋_GBK" w:eastAsia="方正书宋_GBK" w:cs="Times New Roman"/>
              </w:rPr>
            </w:pPr>
          </w:p>
        </w:tc>
        <w:tc>
          <w:tcPr>
            <w:tcW w:w="690"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spacing w:line="300" w:lineRule="exact"/>
              <w:jc w:val="left"/>
              <w:rPr>
                <w:rFonts w:ascii="方正书宋_GBK" w:eastAsia="方正书宋_GBK" w:cs="Times New Roman"/>
              </w:rPr>
            </w:pPr>
          </w:p>
        </w:tc>
        <w:tc>
          <w:tcPr>
            <w:tcW w:w="1090" w:type="dxa"/>
            <w:shd w:val="clear" w:color="auto" w:fill="auto"/>
            <w:vAlign w:val="center"/>
          </w:tcPr>
          <w:p>
            <w:pPr>
              <w:spacing w:line="300" w:lineRule="exact"/>
              <w:jc w:val="right"/>
              <w:rPr>
                <w:rFonts w:ascii="方正书宋_GBK" w:eastAsia="方正书宋_GBK" w:cs="Times New Roman"/>
              </w:rPr>
            </w:pPr>
          </w:p>
        </w:tc>
        <w:tc>
          <w:tcPr>
            <w:tcW w:w="1997" w:type="dxa"/>
            <w:shd w:val="clear" w:color="auto" w:fill="auto"/>
            <w:vAlign w:val="center"/>
          </w:tcPr>
          <w:p>
            <w:pPr>
              <w:spacing w:line="300" w:lineRule="exact"/>
              <w:jc w:val="left"/>
              <w:rPr>
                <w:rFonts w:ascii="方正书宋_GBK" w:eastAsia="方正书宋_GBK" w:cs="Times New Roman"/>
              </w:rPr>
            </w:pPr>
          </w:p>
        </w:tc>
        <w:tc>
          <w:tcPr>
            <w:tcW w:w="1069" w:type="dxa"/>
            <w:shd w:val="clear" w:color="auto" w:fill="auto"/>
            <w:vAlign w:val="center"/>
          </w:tcPr>
          <w:p>
            <w:pPr>
              <w:spacing w:line="300" w:lineRule="exact"/>
              <w:jc w:val="left"/>
              <w:rPr>
                <w:rFonts w:ascii="方正书宋_GBK" w:eastAsia="方正书宋_GBK" w:cs="Times New Roman"/>
              </w:rPr>
            </w:pPr>
          </w:p>
        </w:tc>
        <w:tc>
          <w:tcPr>
            <w:tcW w:w="818" w:type="dxa"/>
            <w:shd w:val="clear" w:color="auto" w:fill="auto"/>
            <w:vAlign w:val="center"/>
          </w:tcPr>
          <w:p>
            <w:pPr>
              <w:spacing w:line="300" w:lineRule="exact"/>
              <w:jc w:val="center"/>
              <w:rPr>
                <w:rFonts w:ascii="方正书宋_GBK" w:eastAsia="方正书宋_GBK" w:cs="Times New Roman"/>
              </w:rPr>
            </w:pPr>
          </w:p>
        </w:tc>
        <w:tc>
          <w:tcPr>
            <w:tcW w:w="720" w:type="dxa"/>
            <w:shd w:val="clear" w:color="auto" w:fill="auto"/>
            <w:vAlign w:val="center"/>
          </w:tcPr>
          <w:p>
            <w:pPr>
              <w:spacing w:line="300" w:lineRule="exact"/>
              <w:jc w:val="right"/>
              <w:rPr>
                <w:rFonts w:ascii="方正书宋_GBK" w:eastAsia="方正书宋_GBK" w:cs="Times New Roman"/>
              </w:rPr>
            </w:pPr>
          </w:p>
        </w:tc>
        <w:tc>
          <w:tcPr>
            <w:tcW w:w="971" w:type="dxa"/>
            <w:shd w:val="clear" w:color="auto" w:fill="auto"/>
            <w:vAlign w:val="center"/>
          </w:tcPr>
          <w:p>
            <w:pPr>
              <w:spacing w:line="300" w:lineRule="exact"/>
              <w:jc w:val="right"/>
              <w:rPr>
                <w:rFonts w:ascii="方正书宋_GBK" w:eastAsia="方正书宋_GBK" w:cs="Times New Roman"/>
              </w:rPr>
            </w:pPr>
          </w:p>
        </w:tc>
        <w:tc>
          <w:tcPr>
            <w:tcW w:w="1167" w:type="dxa"/>
            <w:shd w:val="clear" w:color="auto" w:fill="auto"/>
            <w:vAlign w:val="center"/>
          </w:tcPr>
          <w:p>
            <w:pPr>
              <w:spacing w:line="300" w:lineRule="exact"/>
              <w:jc w:val="right"/>
              <w:rPr>
                <w:rFonts w:ascii="方正书宋_GBK" w:eastAsia="方正书宋_GBK" w:cs="Times New Roman"/>
              </w:rPr>
            </w:pPr>
          </w:p>
        </w:tc>
        <w:tc>
          <w:tcPr>
            <w:tcW w:w="1168" w:type="dxa"/>
            <w:shd w:val="clear" w:color="auto" w:fill="auto"/>
            <w:vAlign w:val="center"/>
          </w:tcPr>
          <w:p>
            <w:pPr>
              <w:spacing w:line="300" w:lineRule="exact"/>
              <w:jc w:val="right"/>
              <w:rPr>
                <w:rFonts w:ascii="方正书宋_GBK" w:eastAsia="方正书宋_GBK" w:cs="Times New Roman"/>
              </w:rPr>
            </w:pPr>
          </w:p>
        </w:tc>
        <w:tc>
          <w:tcPr>
            <w:tcW w:w="916" w:type="dxa"/>
            <w:shd w:val="clear" w:color="auto" w:fill="auto"/>
            <w:vAlign w:val="center"/>
          </w:tcPr>
          <w:p>
            <w:pPr>
              <w:spacing w:line="300" w:lineRule="exact"/>
              <w:jc w:val="right"/>
              <w:rPr>
                <w:rFonts w:ascii="方正书宋_GBK" w:eastAsia="方正书宋_GBK" w:cs="Times New Roman"/>
              </w:rPr>
            </w:pPr>
          </w:p>
        </w:tc>
        <w:tc>
          <w:tcPr>
            <w:tcW w:w="1331" w:type="dxa"/>
            <w:shd w:val="clear" w:color="auto" w:fill="auto"/>
            <w:vAlign w:val="center"/>
          </w:tcPr>
          <w:p>
            <w:pPr>
              <w:spacing w:line="300" w:lineRule="exact"/>
              <w:jc w:val="right"/>
              <w:rPr>
                <w:rFonts w:ascii="方正书宋_GBK" w:eastAsia="方正书宋_GBK" w:cs="Times New Roman"/>
              </w:rPr>
            </w:pPr>
          </w:p>
        </w:tc>
        <w:tc>
          <w:tcPr>
            <w:tcW w:w="982" w:type="dxa"/>
            <w:shd w:val="clear" w:color="auto" w:fill="auto"/>
            <w:vAlign w:val="center"/>
          </w:tcPr>
          <w:p>
            <w:pPr>
              <w:spacing w:line="300" w:lineRule="exact"/>
              <w:jc w:val="right"/>
              <w:rPr>
                <w:rFonts w:ascii="方正书宋_GBK" w:eastAsia="方正书宋_GBK" w:cs="Times New Roman"/>
              </w:rPr>
            </w:pPr>
          </w:p>
        </w:tc>
        <w:tc>
          <w:tcPr>
            <w:tcW w:w="690"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香河县安平镇人民政府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1110.48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lang w:val="en-US" w:eastAsia="zh-CN"/>
              </w:rPr>
              <w:t>安平镇人民政府</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1110.48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宋体" w:hAnsi="宋体" w:eastAsia="宋体" w:cs="宋体"/>
                <w:kern w:val="0"/>
                <w:sz w:val="22"/>
                <w:lang w:val="en-US" w:eastAsia="zh-CN"/>
              </w:rPr>
              <w:t>2353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宋体" w:hAnsi="宋体" w:eastAsia="宋体" w:cs="宋体"/>
                <w:kern w:val="0"/>
                <w:sz w:val="22"/>
                <w:lang w:val="en-US" w:eastAsia="zh-CN"/>
              </w:rPr>
              <w:t>1746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128.29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101.11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853.37</w:t>
            </w:r>
            <w:bookmarkStart w:id="3" w:name="_GoBack"/>
            <w:bookmarkEnd w:id="3"/>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县级单位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91E854-0B05-4BBB-83E2-360B3A75FB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1C783D9-40A4-4F57-B4D1-496821BC67C3}"/>
  </w:font>
  <w:font w:name="方正书宋_GBK">
    <w:panose1 w:val="02000000000000000000"/>
    <w:charset w:val="86"/>
    <w:family w:val="script"/>
    <w:pitch w:val="default"/>
    <w:sig w:usb0="A00002BF" w:usb1="38CF7CFA" w:usb2="00082016" w:usb3="00000000" w:csb0="00040001" w:csb1="00000000"/>
    <w:embedRegular r:id="rId3" w:fontKey="{DBF93799-7A9B-4839-B0FA-D7536FD20341}"/>
  </w:font>
  <w:font w:name="仿宋_GB2312">
    <w:altName w:val="仿宋"/>
    <w:panose1 w:val="02010609030101010101"/>
    <w:charset w:val="86"/>
    <w:family w:val="modern"/>
    <w:pitch w:val="default"/>
    <w:sig w:usb0="00000000" w:usb1="00000000" w:usb2="00000010" w:usb3="00000000" w:csb0="00040000" w:csb1="00000000"/>
    <w:embedRegular r:id="rId4" w:fontKey="{D1B1986A-C4BA-4A19-A786-CD66E4601F17}"/>
  </w:font>
  <w:font w:name="方正小标宋简体">
    <w:panose1 w:val="02000000000000000000"/>
    <w:charset w:val="86"/>
    <w:family w:val="auto"/>
    <w:pitch w:val="default"/>
    <w:sig w:usb0="A00002BF" w:usb1="184F6CFA" w:usb2="00000012" w:usb3="00000000" w:csb0="00040001" w:csb1="00000000"/>
    <w:embedRegular r:id="rId5" w:fontKey="{33DB8A82-1309-4D76-98A0-09298DF9787F}"/>
  </w:font>
  <w:font w:name="楷体_GB2312">
    <w:altName w:val="楷体"/>
    <w:panose1 w:val="02010609030101010101"/>
    <w:charset w:val="86"/>
    <w:family w:val="modern"/>
    <w:pitch w:val="default"/>
    <w:sig w:usb0="00000000" w:usb1="00000000" w:usb2="00000010" w:usb3="00000000" w:csb0="00040000" w:csb1="00000000"/>
    <w:embedRegular r:id="rId6" w:fontKey="{6C56978B-D106-47B9-9D35-A7539273476B}"/>
  </w:font>
  <w:font w:name="仿宋">
    <w:panose1 w:val="02010609060101010101"/>
    <w:charset w:val="86"/>
    <w:family w:val="auto"/>
    <w:pitch w:val="default"/>
    <w:sig w:usb0="800002BF" w:usb1="38CF7CFA" w:usb2="00000016" w:usb3="00000000" w:csb0="00040001" w:csb1="00000000"/>
    <w:embedRegular r:id="rId7" w:fontKey="{C1088E92-004F-419A-A809-C5D2E21D4E93}"/>
  </w:font>
  <w:font w:name="方正小标宋_GBK">
    <w:panose1 w:val="02000000000000000000"/>
    <w:charset w:val="86"/>
    <w:family w:val="script"/>
    <w:pitch w:val="default"/>
    <w:sig w:usb0="A00002BF" w:usb1="38CF7CFA" w:usb2="00082016" w:usb3="00000000" w:csb0="00040001" w:csb1="00000000"/>
    <w:embedRegular r:id="rId8" w:fontKey="{60CB6D0E-5AB5-47EF-ACAE-D458BBA85B4D}"/>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925C39"/>
    <w:multiLevelType w:val="singleLevel"/>
    <w:tmpl w:val="EA925C39"/>
    <w:lvl w:ilvl="0" w:tentative="0">
      <w:start w:val="1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OTc1MWNhMDI3ZDBiZDcwYjYyMGEyOTg3Y2QzYzQ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2D4558A"/>
    <w:rsid w:val="116B65A8"/>
    <w:rsid w:val="11F32D91"/>
    <w:rsid w:val="1CD42C19"/>
    <w:rsid w:val="277B343D"/>
    <w:rsid w:val="3067127F"/>
    <w:rsid w:val="357B4D43"/>
    <w:rsid w:val="41262736"/>
    <w:rsid w:val="44520D71"/>
    <w:rsid w:val="4A800DFF"/>
    <w:rsid w:val="4C5D5186"/>
    <w:rsid w:val="520F0FCD"/>
    <w:rsid w:val="606C73EA"/>
    <w:rsid w:val="6C851AC5"/>
    <w:rsid w:val="6DC443BB"/>
    <w:rsid w:val="6E805FB1"/>
    <w:rsid w:val="7C6C191D"/>
    <w:rsid w:val="7D76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character" w:customStyle="1" w:styleId="13">
    <w:name w:val="font3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27</Pages>
  <Words>13947</Words>
  <Characters>14735</Characters>
  <Lines>23</Lines>
  <Paragraphs>6</Paragraphs>
  <TotalTime>0</TotalTime>
  <ScaleCrop>false</ScaleCrop>
  <LinksUpToDate>false</LinksUpToDate>
  <CharactersWithSpaces>14804</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2023-10-11T03:43:59Z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E86DA5303DCD478F8CA0EE2B52A8E663</vt:lpwstr>
  </property>
</Properties>
</file>